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Private Lender's Toolkit</w:t>
      </w:r>
    </w:p>
    <w:p>
      <w:r>
        <w:rPr>
          <w:b w:val="0"/>
        </w:rPr>
        <w:t>These checklists are the working versions of what chapters 4 to 14 explain. Copy them and adapt them to your own credit box. Where a limit is shown, it is Calder Ridge's limit in the case, a teaching choice and not a market standard. No checklist replaces judgment. Its job is to stop you from skipping a question when the desk is busy.</w:t>
      </w:r>
    </w:p>
    <w:p>
      <w:pPr>
        <w:pStyle w:val="Heading2"/>
      </w:pPr>
      <w:r>
        <w:t>Loan screening questions</w:t>
      </w:r>
    </w:p>
    <w:p>
      <w:r>
        <w:rPr>
          <w:b w:val="0"/>
        </w:rPr>
        <w:t>Use these questions on a first call with a broker or sponsor. Chapter 4 explains why most requests die here.</w:t>
      </w:r>
    </w:p>
    <w:p>
      <w:pPr>
        <w:spacing w:after="60"/>
        <w:ind w:left="240"/>
      </w:pPr>
      <w:r>
        <w:rPr>
          <w:b w:val="0"/>
        </w:rPr>
        <w:t>☐ Who is the sponsor, and have we closed a loan with them before?</w:t>
      </w:r>
    </w:p>
    <w:p>
      <w:pPr>
        <w:spacing w:after="60"/>
        <w:ind w:left="240"/>
      </w:pPr>
      <w:r>
        <w:rPr>
          <w:b w:val="0"/>
        </w:rPr>
        <w:t>☐ What is the property type and the market, and is it inside our credit box?</w:t>
      </w:r>
    </w:p>
    <w:p>
      <w:pPr>
        <w:spacing w:after="60"/>
        <w:ind w:left="240"/>
      </w:pPr>
      <w:r>
        <w:rPr>
          <w:b w:val="0"/>
        </w:rPr>
        <w:t>☐ What is the loan amount, and does it fit our target size? In the case, Fund II's senior loans are about $50 million each.</w:t>
      </w:r>
    </w:p>
    <w:p>
      <w:pPr>
        <w:spacing w:after="60"/>
        <w:ind w:left="240"/>
      </w:pPr>
      <w:r>
        <w:rPr>
          <w:b w:val="0"/>
        </w:rPr>
        <w:t>☐ Is this an acquisition or a refinancing? If it is a refinancing, why is the current lender not extending?</w:t>
      </w:r>
    </w:p>
    <w:p>
      <w:pPr>
        <w:spacing w:after="60"/>
        <w:ind w:left="240"/>
      </w:pPr>
      <w:r>
        <w:rPr>
          <w:b w:val="0"/>
        </w:rPr>
        <w:t>☐ What is the business plan, stated in one sentence?</w:t>
      </w:r>
    </w:p>
    <w:p>
      <w:pPr>
        <w:spacing w:after="60"/>
        <w:ind w:left="240"/>
      </w:pPr>
      <w:r>
        <w:rPr>
          <w:b w:val="0"/>
        </w:rPr>
        <w:t>☐ What is the request as a share of total cost and as a share of as-is value?</w:t>
      </w:r>
    </w:p>
    <w:p>
      <w:pPr>
        <w:spacing w:after="60"/>
        <w:ind w:left="240"/>
      </w:pPr>
      <w:r>
        <w:rPr>
          <w:b w:val="0"/>
        </w:rPr>
        <w:t>☐ Does the stabilized NOI support the loan on a debt yield basis, before any optimism?</w:t>
      </w:r>
    </w:p>
    <w:p>
      <w:pPr>
        <w:spacing w:after="60"/>
        <w:ind w:left="240"/>
      </w:pPr>
      <w:r>
        <w:rPr>
          <w:b w:val="0"/>
        </w:rPr>
        <w:t>☐ How much cash equity goes in, and is it cash or claimed appreciation?</w:t>
      </w:r>
    </w:p>
    <w:p>
      <w:pPr>
        <w:spacing w:after="60"/>
        <w:ind w:left="240"/>
      </w:pPr>
      <w:r>
        <w:rPr>
          <w:b w:val="0"/>
        </w:rPr>
        <w:t>☐ What is the occupancy today, and what share of rent comes from the largest tenant?</w:t>
      </w:r>
    </w:p>
    <w:p>
      <w:pPr>
        <w:spacing w:after="60"/>
        <w:ind w:left="240"/>
      </w:pPr>
      <w:r>
        <w:rPr>
          <w:b w:val="0"/>
        </w:rPr>
        <w:t>☐ Is there a broker, and which other lenders are quoting?</w:t>
      </w:r>
    </w:p>
    <w:p>
      <w:pPr>
        <w:spacing w:after="60"/>
        <w:ind w:left="240"/>
      </w:pPr>
      <w:r>
        <w:rPr>
          <w:b w:val="0"/>
        </w:rPr>
        <w:t>☐ Is the closing date realistic for full underwriting and third-party reports?</w:t>
      </w:r>
    </w:p>
    <w:p>
      <w:pPr>
        <w:spacing w:after="60"/>
        <w:ind w:left="240"/>
      </w:pPr>
      <w:r>
        <w:rPr>
          <w:b w:val="0"/>
        </w:rPr>
        <w:t>☐ Does the sponsor's history include defaults, litigation, bankruptcy or a deed in lieu?</w:t>
      </w:r>
    </w:p>
    <w:p>
      <w:pPr>
        <w:spacing w:after="60"/>
        <w:ind w:left="240"/>
      </w:pPr>
      <w:r>
        <w:rPr>
          <w:b w:val="0"/>
        </w:rPr>
        <w:t>☐ Will our repo bank finance this asset type and this business plan?</w:t>
      </w:r>
    </w:p>
    <w:p>
      <w:pPr>
        <w:spacing w:after="60"/>
        <w:ind w:left="240"/>
      </w:pPr>
      <w:r>
        <w:rPr>
          <w:b w:val="0"/>
        </w:rPr>
        <w:t>☐ Will there be mezzanine debt or preferred equity behind us?</w:t>
      </w:r>
    </w:p>
    <w:p>
      <w:pPr>
        <w:spacing w:after="60"/>
        <w:ind w:left="240"/>
      </w:pPr>
      <w:r>
        <w:rPr>
          <w:b w:val="0"/>
        </w:rPr>
        <w:t>☐ Why is the sponsor coming to us: speed, certainty, or because others said no?</w:t>
      </w:r>
    </w:p>
    <w:p>
      <w:pPr>
        <w:pStyle w:val="Heading2"/>
      </w:pPr>
      <w:r>
        <w:t>Underwriting checklist</w:t>
      </w:r>
    </w:p>
    <w:p>
      <w:r>
        <w:rPr>
          <w:b w:val="0"/>
        </w:rPr>
        <w:t>These are the steps in chapter 6. In the case, the credit box for a bridge loan sets these limits: maximum loan to cost 75 percent, maximum as-is loan to value 72 percent, maximum as-stabilized loan to value 70 percent, minimum stabilized debt yield 8.5 percent and minimum stabilized DSCR 1.15x.</w:t>
      </w:r>
    </w:p>
    <w:p>
      <w:pPr>
        <w:spacing w:after="60"/>
        <w:ind w:left="240"/>
      </w:pPr>
      <w:r>
        <w:rPr>
          <w:b w:val="0"/>
        </w:rPr>
        <w:t>☐ Rebuild in-place NOI from the rent roll and the trailing operating statements, not from the offering memorandum.</w:t>
      </w:r>
    </w:p>
    <w:p>
      <w:pPr>
        <w:spacing w:after="60"/>
        <w:ind w:left="240"/>
      </w:pPr>
      <w:r>
        <w:rPr>
          <w:b w:val="0"/>
        </w:rPr>
        <w:t>☐ Build stabilized NOI line by line and tie every rent assumption to market evidence.</w:t>
      </w:r>
    </w:p>
    <w:p>
      <w:pPr>
        <w:spacing w:after="60"/>
        <w:ind w:left="240"/>
      </w:pPr>
      <w:r>
        <w:rPr>
          <w:b w:val="0"/>
        </w:rPr>
        <w:t>☐ Set the as-is value and the as-stabilized value, and record the cap rate behind each.</w:t>
      </w:r>
    </w:p>
    <w:p>
      <w:pPr>
        <w:spacing w:after="60"/>
        <w:ind w:left="240"/>
      </w:pPr>
      <w:r>
        <w:rPr>
          <w:b w:val="0"/>
        </w:rPr>
        <w:t>☐ Confirm the total cost: purchase price, renovation or construction budget, and closing costs.</w:t>
      </w:r>
    </w:p>
    <w:p>
      <w:pPr>
        <w:spacing w:after="60"/>
        <w:ind w:left="240"/>
      </w:pPr>
      <w:r>
        <w:rPr>
          <w:b w:val="0"/>
        </w:rPr>
        <w:t>☐ Compute the maximum loan under each test.</w:t>
      </w:r>
    </w:p>
    <w:p>
      <w:pPr>
        <w:spacing w:after="60"/>
        <w:ind w:left="240"/>
      </w:pPr>
      <w:r>
        <w:rPr>
          <w:b w:val="0"/>
        </w:rPr>
        <w:t>☐ Identify the test that binds and write down why.</w:t>
      </w:r>
    </w:p>
    <w:p>
      <w:pPr>
        <w:spacing w:after="60"/>
        <w:ind w:left="240"/>
      </w:pPr>
      <w:r>
        <w:rPr>
          <w:b w:val="0"/>
        </w:rPr>
        <w:t>☐ Cap the initial funding with the as-is loan to value test.</w:t>
      </w:r>
    </w:p>
    <w:p>
      <w:pPr>
        <w:spacing w:after="60"/>
        <w:ind w:left="240"/>
      </w:pPr>
      <w:r>
        <w:rPr>
          <w:b w:val="0"/>
        </w:rPr>
        <w:t>☐ Size the future funding to the approved budget only.</w:t>
      </w:r>
    </w:p>
    <w:p>
      <w:pPr>
        <w:spacing w:after="60"/>
        <w:ind w:left="240"/>
      </w:pPr>
      <w:r>
        <w:rPr>
          <w:b w:val="0"/>
        </w:rPr>
        <w:t>☐ Compute the in-place debt yield on the initial funding.</w:t>
      </w:r>
    </w:p>
    <w:p>
      <w:pPr>
        <w:spacing w:after="60"/>
        <w:ind w:left="240"/>
      </w:pPr>
      <w:r>
        <w:rPr>
          <w:b w:val="0"/>
        </w:rPr>
        <w:t>☐ Compute the stabilized debt yield on the full commitment.</w:t>
      </w:r>
    </w:p>
    <w:p>
      <w:pPr>
        <w:spacing w:after="60"/>
        <w:ind w:left="240"/>
      </w:pPr>
      <w:r>
        <w:rPr>
          <w:b w:val="0"/>
        </w:rPr>
        <w:t>☐ Compute the in-place and stabilized DSCR at the loan rate.</w:t>
      </w:r>
    </w:p>
    <w:p>
      <w:pPr>
        <w:spacing w:after="60"/>
        <w:ind w:left="240"/>
      </w:pPr>
      <w:r>
        <w:rPr>
          <w:b w:val="0"/>
        </w:rPr>
        <w:t>☐ If the in-place DSCR is below 1.0x, size an interest reserve to cover the shortfall until stabilization.</w:t>
      </w:r>
    </w:p>
    <w:p>
      <w:pPr>
        <w:spacing w:after="60"/>
        <w:ind w:left="240"/>
      </w:pPr>
      <w:r>
        <w:rPr>
          <w:b w:val="0"/>
        </w:rPr>
        <w:t>☐ Test a lower stabilized NOI and a higher exit cap rate.</w:t>
      </w:r>
    </w:p>
    <w:p>
      <w:pPr>
        <w:spacing w:after="60"/>
        <w:ind w:left="240"/>
      </w:pPr>
      <w:r>
        <w:rPr>
          <w:b w:val="0"/>
        </w:rPr>
        <w:t>☐ Confirm that a refinancing lender could take out the loan at maturity on stabilized numbers.</w:t>
      </w:r>
    </w:p>
    <w:p>
      <w:pPr>
        <w:spacing w:after="60"/>
        <w:ind w:left="240"/>
      </w:pPr>
      <w:r>
        <w:rPr>
          <w:b w:val="0"/>
        </w:rPr>
        <w:t>☐ Check the rate cap strike and term against the business plan.</w:t>
      </w:r>
    </w:p>
    <w:p>
      <w:pPr>
        <w:spacing w:after="60"/>
        <w:ind w:left="240"/>
      </w:pPr>
      <w:r>
        <w:rPr>
          <w:b w:val="0"/>
        </w:rPr>
        <w:t>☐ Review lease rollover, concentration and the largest tenants' credit.</w:t>
      </w:r>
    </w:p>
    <w:p>
      <w:pPr>
        <w:spacing w:after="60"/>
        <w:ind w:left="240"/>
      </w:pPr>
      <w:r>
        <w:rPr>
          <w:b w:val="0"/>
        </w:rPr>
        <w:t>☐ Read the appraisal, property condition and environmental reports in full.</w:t>
      </w:r>
    </w:p>
    <w:p>
      <w:pPr>
        <w:spacing w:after="60"/>
        <w:ind w:left="240"/>
      </w:pPr>
      <w:r>
        <w:rPr>
          <w:b w:val="0"/>
        </w:rPr>
        <w:t>☐ Check that the budget has a contingency and that it is realistic for the scope.</w:t>
      </w:r>
    </w:p>
    <w:p>
      <w:pPr>
        <w:spacing w:after="60"/>
        <w:ind w:left="240"/>
      </w:pPr>
      <w:r>
        <w:rPr>
          <w:b w:val="0"/>
        </w:rPr>
        <w:t>☐ Confirm that the asset is eligible for the repo facility and estimate the advance.</w:t>
      </w:r>
    </w:p>
    <w:p>
      <w:pPr>
        <w:spacing w:after="60"/>
        <w:ind w:left="240"/>
      </w:pPr>
      <w:r>
        <w:rPr>
          <w:b w:val="0"/>
        </w:rPr>
        <w:t>☐ Write the base case, the downside and the exit in the credit memo.</w:t>
      </w:r>
    </w:p>
    <w:p>
      <w:pPr>
        <w:pStyle w:val="Heading2"/>
      </w:pPr>
      <w:r>
        <w:t>Sponsor diligence checklist</w:t>
      </w:r>
    </w:p>
    <w:p>
      <w:r>
        <w:rPr>
          <w:b w:val="0"/>
        </w:rPr>
        <w:t>Chapter 7 explains each item.</w:t>
      </w:r>
    </w:p>
    <w:p>
      <w:pPr>
        <w:spacing w:after="60"/>
        <w:ind w:left="240"/>
      </w:pPr>
      <w:r>
        <w:rPr>
          <w:b w:val="0"/>
        </w:rPr>
        <w:t>☐ Track record with this exact business plan, property type and market.</w:t>
      </w:r>
    </w:p>
    <w:p>
      <w:pPr>
        <w:spacing w:after="60"/>
        <w:ind w:left="240"/>
      </w:pPr>
      <w:r>
        <w:rPr>
          <w:b w:val="0"/>
        </w:rPr>
        <w:t>☐ Results on comparable past deals, including the ones that went badly.</w:t>
      </w:r>
    </w:p>
    <w:p>
      <w:pPr>
        <w:spacing w:after="60"/>
        <w:ind w:left="240"/>
      </w:pPr>
      <w:r>
        <w:rPr>
          <w:b w:val="0"/>
        </w:rPr>
        <w:t>☐ Liquidity verified from statements, not from a personal financial summary alone.</w:t>
      </w:r>
    </w:p>
    <w:p>
      <w:pPr>
        <w:spacing w:after="60"/>
        <w:ind w:left="240"/>
      </w:pPr>
      <w:r>
        <w:rPr>
          <w:b w:val="0"/>
        </w:rPr>
        <w:t>☐ Net worth, and how much of it is illiquid or pledged elsewhere.</w:t>
      </w:r>
    </w:p>
    <w:p>
      <w:pPr>
        <w:spacing w:after="60"/>
        <w:ind w:left="240"/>
      </w:pPr>
      <w:r>
        <w:rPr>
          <w:b w:val="0"/>
        </w:rPr>
        <w:t>☐ Contingent liabilities: other guaranties, recourse debt, capital calls.</w:t>
      </w:r>
    </w:p>
    <w:p>
      <w:pPr>
        <w:spacing w:after="60"/>
        <w:ind w:left="240"/>
      </w:pPr>
      <w:r>
        <w:rPr>
          <w:b w:val="0"/>
        </w:rPr>
        <w:t>☐ Background, litigation, lien and bankruptcy searches on principals and entities.</w:t>
      </w:r>
    </w:p>
    <w:p>
      <w:pPr>
        <w:spacing w:after="60"/>
        <w:ind w:left="240"/>
      </w:pPr>
      <w:r>
        <w:rPr>
          <w:b w:val="0"/>
        </w:rPr>
        <w:t>☐ Source of the equity for this deal.</w:t>
      </w:r>
    </w:p>
    <w:p>
      <w:pPr>
        <w:spacing w:after="60"/>
        <w:ind w:left="240"/>
      </w:pPr>
      <w:r>
        <w:rPr>
          <w:b w:val="0"/>
        </w:rPr>
        <w:t>☐ Property management: in-house or third party, and its record.</w:t>
      </w:r>
    </w:p>
    <w:p>
      <w:pPr>
        <w:spacing w:after="60"/>
        <w:ind w:left="240"/>
      </w:pPr>
      <w:r>
        <w:rPr>
          <w:b w:val="0"/>
        </w:rPr>
        <w:t>☐ General contractor and construction manager, for renovation or development.</w:t>
      </w:r>
    </w:p>
    <w:p>
      <w:pPr>
        <w:spacing w:after="60"/>
        <w:ind w:left="240"/>
      </w:pPr>
      <w:r>
        <w:rPr>
          <w:b w:val="0"/>
        </w:rPr>
        <w:t>☐ References from other lenders, including those that suffered a loss.</w:t>
      </w:r>
    </w:p>
    <w:p>
      <w:pPr>
        <w:spacing w:after="60"/>
        <w:ind w:left="240"/>
      </w:pPr>
      <w:r>
        <w:rPr>
          <w:b w:val="0"/>
        </w:rPr>
        <w:t>☐ Ownership structure and who controls decisions.</w:t>
      </w:r>
    </w:p>
    <w:p>
      <w:pPr>
        <w:spacing w:after="60"/>
        <w:ind w:left="240"/>
      </w:pPr>
      <w:r>
        <w:rPr>
          <w:b w:val="0"/>
        </w:rPr>
        <w:t>☐ Behavior during the term sheet negotiation: candor, speed, consistency.</w:t>
      </w:r>
    </w:p>
    <w:p>
      <w:pPr>
        <w:pStyle w:val="Heading2"/>
      </w:pPr>
      <w:r>
        <w:t>Term sheet outline</w:t>
      </w:r>
    </w:p>
    <w:p>
      <w:r>
        <w:rPr>
          <w:b w:val="0"/>
        </w:rPr>
        <w:t>Chapter 8 fills in this outline for Mercer Street.</w:t>
      </w:r>
    </w:p>
    <w:p>
      <w:pPr>
        <w:spacing w:after="60"/>
        <w:ind w:left="240"/>
      </w:pPr>
      <w:r>
        <w:rPr>
          <w:b w:val="0"/>
        </w:rPr>
        <w:t>☐ Borrower, sponsor and guarantors.</w:t>
      </w:r>
    </w:p>
    <w:p>
      <w:pPr>
        <w:spacing w:after="60"/>
        <w:ind w:left="240"/>
      </w:pPr>
      <w:r>
        <w:rPr>
          <w:b w:val="0"/>
        </w:rPr>
        <w:t>☐ Property and collateral.</w:t>
      </w:r>
    </w:p>
    <w:p>
      <w:pPr>
        <w:spacing w:after="60"/>
        <w:ind w:left="240"/>
      </w:pPr>
      <w:r>
        <w:rPr>
          <w:b w:val="0"/>
        </w:rPr>
        <w:t>☐ Loan amount: total commitment, initial funding, future funding and its purpose.</w:t>
      </w:r>
    </w:p>
    <w:p>
      <w:pPr>
        <w:spacing w:after="60"/>
        <w:ind w:left="240"/>
      </w:pPr>
      <w:r>
        <w:rPr>
          <w:b w:val="0"/>
        </w:rPr>
        <w:t>☐ Interest rate: index, spread, floor if any.</w:t>
      </w:r>
    </w:p>
    <w:p>
      <w:pPr>
        <w:spacing w:after="60"/>
        <w:ind w:left="240"/>
      </w:pPr>
      <w:r>
        <w:rPr>
          <w:b w:val="0"/>
        </w:rPr>
        <w:t>☐ Fees: origination, exit, extension.</w:t>
      </w:r>
    </w:p>
    <w:p>
      <w:pPr>
        <w:spacing w:after="60"/>
        <w:ind w:left="240"/>
      </w:pPr>
      <w:r>
        <w:rPr>
          <w:b w:val="0"/>
        </w:rPr>
        <w:t>☐ Initial term and extension options, with their conditions.</w:t>
      </w:r>
    </w:p>
    <w:p>
      <w:pPr>
        <w:spacing w:after="60"/>
        <w:ind w:left="240"/>
      </w:pPr>
      <w:r>
        <w:rPr>
          <w:b w:val="0"/>
        </w:rPr>
        <w:t>☐ Amortization or interest-only.</w:t>
      </w:r>
    </w:p>
    <w:p>
      <w:pPr>
        <w:spacing w:after="60"/>
        <w:ind w:left="240"/>
      </w:pPr>
      <w:r>
        <w:rPr>
          <w:b w:val="0"/>
        </w:rPr>
        <w:t>☐ Reserves: interest, capital, tax and insurance.</w:t>
      </w:r>
    </w:p>
    <w:p>
      <w:pPr>
        <w:spacing w:after="60"/>
        <w:ind w:left="240"/>
      </w:pPr>
      <w:r>
        <w:rPr>
          <w:b w:val="0"/>
        </w:rPr>
        <w:t>☐ Interest rate cap requirements.</w:t>
      </w:r>
    </w:p>
    <w:p>
      <w:pPr>
        <w:spacing w:after="60"/>
        <w:ind w:left="240"/>
      </w:pPr>
      <w:r>
        <w:rPr>
          <w:b w:val="0"/>
        </w:rPr>
        <w:t>☐ Recourse: non-recourse carve-outs, completion guaranty, carry guaranty.</w:t>
      </w:r>
    </w:p>
    <w:p>
      <w:pPr>
        <w:spacing w:after="60"/>
        <w:ind w:left="240"/>
      </w:pPr>
      <w:r>
        <w:rPr>
          <w:b w:val="0"/>
        </w:rPr>
        <w:t>☐ Cash management and reporting.</w:t>
      </w:r>
    </w:p>
    <w:p>
      <w:pPr>
        <w:spacing w:after="60"/>
        <w:ind w:left="240"/>
      </w:pPr>
      <w:r>
        <w:rPr>
          <w:b w:val="0"/>
        </w:rPr>
        <w:t>☐ Conditions to closing and to each draw.</w:t>
      </w:r>
    </w:p>
    <w:p>
      <w:pPr>
        <w:spacing w:after="60"/>
        <w:ind w:left="240"/>
      </w:pPr>
      <w:r>
        <w:rPr>
          <w:b w:val="0"/>
        </w:rPr>
        <w:t>☐ Good faith deposit and the costs it covers.</w:t>
      </w:r>
    </w:p>
    <w:p>
      <w:pPr>
        <w:spacing w:after="60"/>
        <w:ind w:left="240"/>
      </w:pPr>
      <w:r>
        <w:rPr>
          <w:b w:val="0"/>
        </w:rPr>
        <w:t>☐ Exclusivity period.</w:t>
      </w:r>
    </w:p>
    <w:p>
      <w:pPr>
        <w:spacing w:after="60"/>
        <w:ind w:left="240"/>
      </w:pPr>
      <w:r>
        <w:rPr>
          <w:b w:val="0"/>
        </w:rPr>
        <w:t>☐ Expiry date and the statement that the term sheet is not a commitment.</w:t>
      </w:r>
    </w:p>
    <w:p>
      <w:pPr>
        <w:pStyle w:val="Heading2"/>
      </w:pPr>
      <w:r>
        <w:t>Credit memo outline</w:t>
      </w:r>
    </w:p>
    <w:p>
      <w:r>
        <w:rPr>
          <w:b w:val="0"/>
        </w:rPr>
        <w:t>Chapter 9 explains how the committee reads it.</w:t>
      </w:r>
    </w:p>
    <w:p>
      <w:pPr>
        <w:spacing w:after="60"/>
        <w:ind w:left="240"/>
      </w:pPr>
      <w:r>
        <w:rPr>
          <w:b w:val="0"/>
        </w:rPr>
        <w:t>☐ Summary: request, recommendation, key metrics, binding test.</w:t>
      </w:r>
    </w:p>
    <w:p>
      <w:pPr>
        <w:spacing w:after="60"/>
        <w:ind w:left="240"/>
      </w:pPr>
      <w:r>
        <w:rPr>
          <w:b w:val="0"/>
        </w:rPr>
        <w:t>☐ Sponsor.</w:t>
      </w:r>
    </w:p>
    <w:p>
      <w:pPr>
        <w:spacing w:after="60"/>
        <w:ind w:left="240"/>
      </w:pPr>
      <w:r>
        <w:rPr>
          <w:b w:val="0"/>
        </w:rPr>
        <w:t>☐ Property and market.</w:t>
      </w:r>
    </w:p>
    <w:p>
      <w:pPr>
        <w:spacing w:after="60"/>
        <w:ind w:left="240"/>
      </w:pPr>
      <w:r>
        <w:rPr>
          <w:b w:val="0"/>
        </w:rPr>
        <w:t>☐ Business plan and budget.</w:t>
      </w:r>
    </w:p>
    <w:p>
      <w:pPr>
        <w:spacing w:after="60"/>
        <w:ind w:left="240"/>
      </w:pPr>
      <w:r>
        <w:rPr>
          <w:b w:val="0"/>
        </w:rPr>
        <w:t>☐ Sizing under the four tests.</w:t>
      </w:r>
    </w:p>
    <w:p>
      <w:pPr>
        <w:spacing w:after="60"/>
        <w:ind w:left="240"/>
      </w:pPr>
      <w:r>
        <w:rPr>
          <w:b w:val="0"/>
        </w:rPr>
        <w:t>☐ Loan terms and pricing, with the lender IRR.</w:t>
      </w:r>
    </w:p>
    <w:p>
      <w:pPr>
        <w:spacing w:after="60"/>
        <w:ind w:left="240"/>
      </w:pPr>
      <w:r>
        <w:rPr>
          <w:b w:val="0"/>
        </w:rPr>
        <w:t>☐ Sources and uses.</w:t>
      </w:r>
    </w:p>
    <w:p>
      <w:pPr>
        <w:spacing w:after="60"/>
        <w:ind w:left="240"/>
      </w:pPr>
      <w:r>
        <w:rPr>
          <w:b w:val="0"/>
        </w:rPr>
        <w:t>☐ Risks and mitigants.</w:t>
      </w:r>
    </w:p>
    <w:p>
      <w:pPr>
        <w:spacing w:after="60"/>
        <w:ind w:left="240"/>
      </w:pPr>
      <w:r>
        <w:rPr>
          <w:b w:val="0"/>
        </w:rPr>
        <w:t>☐ Downside case and exit analysis.</w:t>
      </w:r>
    </w:p>
    <w:p>
      <w:pPr>
        <w:spacing w:after="60"/>
        <w:ind w:left="240"/>
      </w:pPr>
      <w:r>
        <w:rPr>
          <w:b w:val="0"/>
        </w:rPr>
        <w:t>☐ Financing: repo eligibility and expected advance.</w:t>
      </w:r>
    </w:p>
    <w:p>
      <w:pPr>
        <w:spacing w:after="60"/>
        <w:ind w:left="240"/>
      </w:pPr>
      <w:r>
        <w:rPr>
          <w:b w:val="0"/>
        </w:rPr>
        <w:t>☐ Third-party report findings.</w:t>
      </w:r>
    </w:p>
    <w:p>
      <w:pPr>
        <w:spacing w:after="60"/>
        <w:ind w:left="240"/>
      </w:pPr>
      <w:r>
        <w:rPr>
          <w:b w:val="0"/>
        </w:rPr>
        <w:t>☐ Conditions of approval.</w:t>
      </w:r>
    </w:p>
    <w:p>
      <w:pPr>
        <w:pStyle w:val="Heading2"/>
      </w:pPr>
      <w:r>
        <w:t>Draw request checklist</w:t>
      </w:r>
    </w:p>
    <w:p>
      <w:r>
        <w:rPr>
          <w:b w:val="0"/>
        </w:rPr>
        <w:t>Chapter 9 covers future funding.</w:t>
      </w:r>
    </w:p>
    <w:p>
      <w:pPr>
        <w:spacing w:after="60"/>
        <w:ind w:left="240"/>
      </w:pPr>
      <w:r>
        <w:rPr>
          <w:b w:val="0"/>
        </w:rPr>
        <w:t>☐ Draw request on the agreed form, signed by the borrower.</w:t>
      </w:r>
    </w:p>
    <w:p>
      <w:pPr>
        <w:spacing w:after="60"/>
        <w:ind w:left="240"/>
      </w:pPr>
      <w:r>
        <w:rPr>
          <w:b w:val="0"/>
        </w:rPr>
        <w:t>☐ Draw matches budget line items, with no unapproved reallocations.</w:t>
      </w:r>
    </w:p>
    <w:p>
      <w:pPr>
        <w:spacing w:after="60"/>
        <w:ind w:left="240"/>
      </w:pPr>
      <w:r>
        <w:rPr>
          <w:b w:val="0"/>
        </w:rPr>
        <w:t>☐ Invoices and paid receipts for prior draws.</w:t>
      </w:r>
    </w:p>
    <w:p>
      <w:pPr>
        <w:spacing w:after="60"/>
        <w:ind w:left="240"/>
      </w:pPr>
      <w:r>
        <w:rPr>
          <w:b w:val="0"/>
        </w:rPr>
        <w:t>☐ Inspector's report confirming the work in place.</w:t>
      </w:r>
    </w:p>
    <w:p>
      <w:pPr>
        <w:spacing w:after="60"/>
        <w:ind w:left="240"/>
      </w:pPr>
      <w:r>
        <w:rPr>
          <w:b w:val="0"/>
        </w:rPr>
        <w:t>☐ Retainage held as agreed.</w:t>
      </w:r>
    </w:p>
    <w:p>
      <w:pPr>
        <w:spacing w:after="60"/>
        <w:ind w:left="240"/>
      </w:pPr>
      <w:r>
        <w:rPr>
          <w:b w:val="0"/>
        </w:rPr>
        <w:t>☐ Lien waivers from the contractor and major subcontractors.</w:t>
      </w:r>
    </w:p>
    <w:p>
      <w:pPr>
        <w:spacing w:after="60"/>
        <w:ind w:left="240"/>
      </w:pPr>
      <w:r>
        <w:rPr>
          <w:b w:val="0"/>
        </w:rPr>
        <w:t>☐ Title update with no new liens.</w:t>
      </w:r>
    </w:p>
    <w:p>
      <w:pPr>
        <w:spacing w:after="60"/>
        <w:ind w:left="240"/>
      </w:pPr>
      <w:r>
        <w:rPr>
          <w:b w:val="0"/>
        </w:rPr>
        <w:t>☐ Remaining budget still sufficient to complete, the in-balance test.</w:t>
      </w:r>
    </w:p>
    <w:p>
      <w:pPr>
        <w:spacing w:after="60"/>
        <w:ind w:left="240"/>
      </w:pPr>
      <w:r>
        <w:rPr>
          <w:b w:val="0"/>
        </w:rPr>
        <w:t>☐ No default and no material adverse change.</w:t>
      </w:r>
    </w:p>
    <w:p>
      <w:pPr>
        <w:spacing w:after="60"/>
        <w:ind w:left="240"/>
      </w:pPr>
      <w:r>
        <w:rPr>
          <w:b w:val="0"/>
        </w:rPr>
        <w:t>☐ Repo bank notified and future funding share confirmed.</w:t>
      </w:r>
    </w:p>
    <w:p>
      <w:pPr>
        <w:pStyle w:val="Heading2"/>
      </w:pPr>
      <w:r>
        <w:t>Watch list triggers</w:t>
      </w:r>
    </w:p>
    <w:p>
      <w:r>
        <w:rPr>
          <w:b w:val="0"/>
        </w:rPr>
        <w:t>Chapter 13 explains how a loan moves onto the watch list. Any one of these triggers a review.</w:t>
      </w:r>
    </w:p>
    <w:p>
      <w:pPr>
        <w:spacing w:after="60"/>
        <w:ind w:left="240"/>
      </w:pPr>
      <w:r>
        <w:rPr>
          <w:b w:val="0"/>
        </w:rPr>
        <w:t>☐ A major tenant gives notice or asks for relief. On Linden Street, in March 2026, it was the largest tenant.</w:t>
      </w:r>
    </w:p>
    <w:p>
      <w:pPr>
        <w:spacing w:after="60"/>
        <w:ind w:left="240"/>
      </w:pPr>
      <w:r>
        <w:rPr>
          <w:b w:val="0"/>
        </w:rPr>
        <w:t>☐ In-place DSCR or debt yield falls below the underwriting case.</w:t>
      </w:r>
    </w:p>
    <w:p>
      <w:pPr>
        <w:spacing w:after="60"/>
        <w:ind w:left="240"/>
      </w:pPr>
      <w:r>
        <w:rPr>
          <w:b w:val="0"/>
        </w:rPr>
        <w:t>☐ The business plan falls a quarter or more behind schedule.</w:t>
      </w:r>
    </w:p>
    <w:p>
      <w:pPr>
        <w:spacing w:after="60"/>
        <w:ind w:left="240"/>
      </w:pPr>
      <w:r>
        <w:rPr>
          <w:b w:val="0"/>
        </w:rPr>
        <w:t>☐ A budget overrun, or the contingency is consumed early.</w:t>
      </w:r>
    </w:p>
    <w:p>
      <w:pPr>
        <w:spacing w:after="60"/>
        <w:ind w:left="240"/>
      </w:pPr>
      <w:r>
        <w:rPr>
          <w:b w:val="0"/>
        </w:rPr>
        <w:t>☐ The interest reserve is projected to run out before stabilization.</w:t>
      </w:r>
    </w:p>
    <w:p>
      <w:pPr>
        <w:spacing w:after="60"/>
        <w:ind w:left="240"/>
      </w:pPr>
      <w:r>
        <w:rPr>
          <w:b w:val="0"/>
        </w:rPr>
        <w:t>☐ A late payment, or a missed reporting deadline.</w:t>
      </w:r>
    </w:p>
    <w:p>
      <w:pPr>
        <w:spacing w:after="60"/>
        <w:ind w:left="240"/>
      </w:pPr>
      <w:r>
        <w:rPr>
          <w:b w:val="0"/>
        </w:rPr>
        <w:t>☐ The rate cap is expiring, with no replacement purchased.</w:t>
      </w:r>
    </w:p>
    <w:p>
      <w:pPr>
        <w:spacing w:after="60"/>
        <w:ind w:left="240"/>
      </w:pPr>
      <w:r>
        <w:rPr>
          <w:b w:val="0"/>
        </w:rPr>
        <w:t>☐ Maturity or an extension date is approaching and the extension test may fail.</w:t>
      </w:r>
    </w:p>
    <w:p>
      <w:pPr>
        <w:spacing w:after="60"/>
        <w:ind w:left="240"/>
      </w:pPr>
      <w:r>
        <w:rPr>
          <w:b w:val="0"/>
        </w:rPr>
        <w:t>☐ The sponsor shows distress on other assets or with other lenders.</w:t>
      </w:r>
    </w:p>
    <w:p>
      <w:pPr>
        <w:spacing w:after="60"/>
        <w:ind w:left="240"/>
      </w:pPr>
      <w:r>
        <w:rPr>
          <w:b w:val="0"/>
        </w:rPr>
        <w:t>☐ The repo bank re-marks the loan or questions its value.</w:t>
      </w:r>
    </w:p>
    <w:p>
      <w:pPr>
        <w:spacing w:after="60"/>
        <w:ind w:left="240"/>
      </w:pPr>
      <w:r>
        <w:rPr>
          <w:b w:val="0"/>
        </w:rPr>
        <w:t>☐ Insurance lapses, or property taxes go unpaid.</w:t>
      </w:r>
    </w:p>
    <w:p>
      <w:pPr>
        <w:spacing w:after="60"/>
        <w:ind w:left="240"/>
      </w:pPr>
      <w:r>
        <w:rPr>
          <w:b w:val="0"/>
        </w:rPr>
        <w:t>☐ Market evidence shows a sharp decline in values or rents.</w:t>
      </w:r>
    </w:p>
    <w:p>
      <w:pPr>
        <w:pStyle w:val="Heading2"/>
      </w:pPr>
      <w:r>
        <w:t>Workout decision checklist</w:t>
      </w:r>
    </w:p>
    <w:p>
      <w:r>
        <w:rPr>
          <w:b w:val="0"/>
        </w:rPr>
        <w:t>Chapter 14 applies this checklist to Linden Street. In the case, Calder Ridge compared a modification at $36.0 million, a foreclosure at $33.0 million and a note sale at $35.1 million, and chose the modification.</w:t>
      </w:r>
    </w:p>
    <w:p>
      <w:pPr>
        <w:spacing w:after="60"/>
        <w:ind w:left="240"/>
      </w:pPr>
      <w:r>
        <w:rPr>
          <w:b w:val="0"/>
        </w:rPr>
        <w:t>☐ Get a current value and a current NOI from fresh evidence, not the original appraisal.</w:t>
      </w:r>
    </w:p>
    <w:p>
      <w:pPr>
        <w:spacing w:after="60"/>
        <w:ind w:left="240"/>
      </w:pPr>
      <w:r>
        <w:rPr>
          <w:b w:val="0"/>
        </w:rPr>
        <w:t>☐ Write out the cash flows for each option: modify, foreclose, sell the note, deed in lieu.</w:t>
      </w:r>
    </w:p>
    <w:p>
      <w:pPr>
        <w:spacing w:after="60"/>
        <w:ind w:left="240"/>
      </w:pPr>
      <w:r>
        <w:rPr>
          <w:b w:val="0"/>
        </w:rPr>
        <w:t>☐ Value every option at the same discount rate.</w:t>
      </w:r>
    </w:p>
    <w:p>
      <w:pPr>
        <w:spacing w:after="60"/>
        <w:ind w:left="240"/>
      </w:pPr>
      <w:r>
        <w:rPr>
          <w:b w:val="0"/>
        </w:rPr>
        <w:t>☐ Ask what new money the sponsor will put in, and whether they will stay engaged.</w:t>
      </w:r>
    </w:p>
    <w:p>
      <w:pPr>
        <w:spacing w:after="60"/>
        <w:ind w:left="240"/>
      </w:pPr>
      <w:r>
        <w:rPr>
          <w:b w:val="0"/>
        </w:rPr>
        <w:t>☐ Estimate the foreclosure timeline and its legal and carrying costs with counsel.</w:t>
      </w:r>
    </w:p>
    <w:p>
      <w:pPr>
        <w:spacing w:after="60"/>
        <w:ind w:left="240"/>
      </w:pPr>
      <w:r>
        <w:rPr>
          <w:b w:val="0"/>
        </w:rPr>
        <w:t>☐ Price the leasing capital needed to restabilize the property.</w:t>
      </w:r>
    </w:p>
    <w:p>
      <w:pPr>
        <w:spacing w:after="60"/>
        <w:ind w:left="240"/>
      </w:pPr>
      <w:r>
        <w:rPr>
          <w:b w:val="0"/>
        </w:rPr>
        <w:t>☐ Obtain a real note sale bid rather than a guess.</w:t>
      </w:r>
    </w:p>
    <w:p>
      <w:pPr>
        <w:spacing w:after="60"/>
        <w:ind w:left="240"/>
      </w:pPr>
      <w:r>
        <w:rPr>
          <w:b w:val="0"/>
        </w:rPr>
        <w:t>☐ Agree a plan with the repo bank and fund any margin call. On Linden Street it was $6.3 million.</w:t>
      </w:r>
    </w:p>
    <w:p>
      <w:pPr>
        <w:spacing w:after="60"/>
        <w:ind w:left="240"/>
      </w:pPr>
      <w:r>
        <w:rPr>
          <w:b w:val="0"/>
        </w:rPr>
        <w:t>☐ Measure the loss against par and its effect on fund income.</w:t>
      </w:r>
    </w:p>
    <w:p>
      <w:pPr>
        <w:spacing w:after="60"/>
        <w:ind w:left="240"/>
      </w:pPr>
      <w:r>
        <w:rPr>
          <w:b w:val="0"/>
        </w:rPr>
        <w:t>☐ Prepare the investor communication before the decision becomes public.</w:t>
      </w:r>
    </w:p>
    <w:p>
      <w:r>
        <w:t>Julian R. Sterling, The Private Real Estate Lender. A working aid, not legal, tax, accounting or investment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Private Real Estate Lender: The Private Lender's Toolkit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