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Fund of Funds Toolkit</w:t>
      </w:r>
    </w:p>
    <w:p>
      <w:r>
        <w:rPr>
          <w:b w:val="0"/>
        </w:rPr>
        <w:t>These lists are the working tools behind chapters 5 to 13. Use them as starting points and fit them to your own process, documents and investment committee. They describe general practice, not legal, tax, accounting or regulatory advice. Where a list uses Fund IV's settings, they are case choices for teaching, not market standards.</w:t>
      </w:r>
    </w:p>
    <w:p>
      <w:pPr>
        <w:pStyle w:val="Heading2"/>
      </w:pPr>
      <w:r>
        <w:t>GP Due Diligence Questionnaire Topics</w:t>
      </w:r>
    </w:p>
    <w:p>
      <w:r>
        <w:rPr>
          <w:b w:val="0"/>
        </w:rPr>
        <w:t>Send these topics before the first full meeting. Then test the answers against the data room and against references.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Firm history and ownership:</w:t>
      </w:r>
      <w:r>
        <w:rPr>
          <w:b w:val="0"/>
        </w:rPr>
        <w:t xml:space="preserve"> how the management company is owned, how its economics are split and whether any stake has been sold.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Team composition:</w:t>
      </w:r>
      <w:r>
        <w:rPr>
          <w:b w:val="0"/>
        </w:rPr>
        <w:t xml:space="preserve"> investment professionals by seniority, tenure at the firm and years working together.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Departures and hires:</w:t>
      </w:r>
      <w:r>
        <w:rPr>
          <w:b w:val="0"/>
        </w:rPr>
        <w:t xml:space="preserve"> who has left or joined since the last fund, and why.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Deal-level attribution:</w:t>
      </w:r>
      <w:r>
        <w:rPr>
          <w:b w:val="0"/>
        </w:rPr>
        <w:t xml:space="preserve"> who sourced, led, sat on the board of and exited each deal in the track record.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Succession and key persons:</w:t>
      </w:r>
      <w:r>
        <w:rPr>
          <w:b w:val="0"/>
        </w:rPr>
        <w:t xml:space="preserve"> who the key persons are, and who would take over if one left.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Carry allocation:</w:t>
      </w:r>
      <w:r>
        <w:rPr>
          <w:b w:val="0"/>
        </w:rPr>
        <w:t xml:space="preserve"> how carried interest is split across the team and how much the next generation receives.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Strategy:</w:t>
      </w:r>
      <w:r>
        <w:rPr>
          <w:b w:val="0"/>
        </w:rPr>
        <w:t xml:space="preserve"> the stated edge, and how the strategy has changed from fund to fund.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Target market:</w:t>
      </w:r>
      <w:r>
        <w:rPr>
          <w:b w:val="0"/>
        </w:rPr>
        <w:t xml:space="preserve"> deal size, sectors, geography and the competitive position in each.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Sourcing:</w:t>
      </w:r>
      <w:r>
        <w:rPr>
          <w:b w:val="0"/>
        </w:rPr>
        <w:t xml:space="preserve"> where deals come from and how often the firm wins outside broad auctions.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Value creation:</w:t>
      </w:r>
      <w:r>
        <w:rPr>
          <w:b w:val="0"/>
        </w:rPr>
        <w:t xml:space="preserve"> the operating plan, in-house resources and the use of outside advisers.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Track record data:</w:t>
      </w:r>
      <w:r>
        <w:rPr>
          <w:b w:val="0"/>
        </w:rPr>
        <w:t xml:space="preserve"> cost, realized proceeds, unrealized value and dated cash flows for every deal.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Dispersion and losses:</w:t>
      </w:r>
      <w:r>
        <w:rPr>
          <w:b w:val="0"/>
        </w:rPr>
        <w:t xml:space="preserve"> the spread of outcomes, the loss ratio and how much of the gains came from the best few deals.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Realized versus unrealized:</w:t>
      </w:r>
      <w:r>
        <w:rPr>
          <w:b w:val="0"/>
        </w:rPr>
        <w:t xml:space="preserve"> the share of value still unrealized and how it is valued.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Plan versus outcome:</w:t>
      </w:r>
      <w:r>
        <w:rPr>
          <w:b w:val="0"/>
        </w:rPr>
        <w:t xml:space="preserve"> what the last fund promised and what it delivered.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Fund size discipline:</w:t>
      </w:r>
      <w:r>
        <w:rPr>
          <w:b w:val="0"/>
        </w:rPr>
        <w:t xml:space="preserve"> the target size against the prior fund and the team's capacity to invest it.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Portfolio construction:</w:t>
      </w:r>
      <w:r>
        <w:rPr>
          <w:b w:val="0"/>
        </w:rPr>
        <w:t xml:space="preserve"> number of deals, concentration limits and use of leverage.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Exits:</w:t>
      </w:r>
      <w:r>
        <w:rPr>
          <w:b w:val="0"/>
        </w:rPr>
        <w:t xml:space="preserve"> how and to whom companies were sold, including any continuation vehicles.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Terms:</w:t>
      </w:r>
      <w:r>
        <w:rPr>
          <w:b w:val="0"/>
        </w:rPr>
        <w:t xml:space="preserve"> management fee base, carry and waterfall, GP commitment, fee offsets, recycling and extensions.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Conflicts:</w:t>
      </w:r>
      <w:r>
        <w:rPr>
          <w:b w:val="0"/>
        </w:rPr>
        <w:t xml:space="preserve"> cross-fund deals, affiliated service providers and co-investment allocation.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ESG and references:</w:t>
      </w:r>
      <w:r>
        <w:rPr>
          <w:b w:val="0"/>
        </w:rPr>
        <w:t xml:space="preserve"> the ESG policy and its reporting, plus a list of references and permission to call people who are not on the list.</w:t>
      </w:r>
    </w:p>
    <w:p>
      <w:pPr>
        <w:pStyle w:val="Heading2"/>
      </w:pPr>
      <w:r>
        <w:t>Operational Due Diligence Checklist</w:t>
      </w:r>
    </w:p>
    <w:p>
      <w:r>
        <w:rPr>
          <w:b w:val="0"/>
        </w:rPr>
        <w:t>The operational due diligence lead runs this list separately from the deal team and can veto any commitment.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Valuation policy:</w:t>
      </w:r>
      <w:r>
        <w:rPr>
          <w:b w:val="0"/>
        </w:rPr>
        <w:t xml:space="preserve"> written policy, valuation committee membership and consistency with the IPEV Guidelines (updated edition published 11 December 2025).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Valuation evidence:</w:t>
      </w:r>
      <w:r>
        <w:rPr>
          <w:b w:val="0"/>
        </w:rPr>
        <w:t xml:space="preserve"> a sample of past marks compared with the later exit values.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Cash controls:</w:t>
      </w:r>
      <w:r>
        <w:rPr>
          <w:b w:val="0"/>
        </w:rPr>
        <w:t xml:space="preserve"> segregation of duties, dual authorization and limits on who can move money.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Payment verification:</w:t>
      </w:r>
      <w:r>
        <w:rPr>
          <w:b w:val="0"/>
        </w:rPr>
        <w:t xml:space="preserve"> callback procedures for new or changed wire instructions.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Administrator:</w:t>
      </w:r>
      <w:r>
        <w:rPr>
          <w:b w:val="0"/>
        </w:rPr>
        <w:t xml:space="preserve"> independence, scope of services, frequency of reconciliations and how access is controlled.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Auditor:</w:t>
      </w:r>
      <w:r>
        <w:rPr>
          <w:b w:val="0"/>
        </w:rPr>
        <w:t xml:space="preserve"> firm, tenure and any qualified opinions.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Compliance program:</w:t>
      </w:r>
      <w:r>
        <w:rPr>
          <w:b w:val="0"/>
        </w:rPr>
        <w:t xml:space="preserve"> chief compliance officer, code of ethics, personal trading and gifts policy.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Regulatory history:</w:t>
      </w:r>
      <w:r>
        <w:rPr>
          <w:b w:val="0"/>
        </w:rPr>
        <w:t xml:space="preserve"> registrations, examinations and any enforcement matters.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Cybersecurity:</w:t>
      </w:r>
      <w:r>
        <w:rPr>
          <w:b w:val="0"/>
        </w:rPr>
        <w:t xml:space="preserve"> controls, testing, training and incident history.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Business continuity:</w:t>
      </w:r>
      <w:r>
        <w:rPr>
          <w:b w:val="0"/>
        </w:rPr>
        <w:t xml:space="preserve"> recovery plan and the date it was last tested.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Allocation policy:</w:t>
      </w:r>
      <w:r>
        <w:rPr>
          <w:b w:val="0"/>
        </w:rPr>
        <w:t xml:space="preserve"> how deals and co-investments are allocated among funds and investors.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Expense allocation:</w:t>
      </w:r>
      <w:r>
        <w:rPr>
          <w:b w:val="0"/>
        </w:rPr>
        <w:t xml:space="preserve"> which costs fall on the fund and which on the management company.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Affiliated service providers:</w:t>
      </w:r>
      <w:r>
        <w:rPr>
          <w:b w:val="0"/>
        </w:rPr>
        <w:t xml:space="preserve"> what they do and how they are paid.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Insurance:</w:t>
      </w:r>
      <w:r>
        <w:rPr>
          <w:b w:val="0"/>
        </w:rPr>
        <w:t xml:space="preserve"> types of cover and limits.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Background and litigation checks:</w:t>
      </w:r>
      <w:r>
        <w:rPr>
          <w:b w:val="0"/>
        </w:rPr>
        <w:t xml:space="preserve"> on the firm and on every key person.</w:t>
      </w:r>
    </w:p>
    <w:p>
      <w:pPr>
        <w:pStyle w:val="Heading2"/>
      </w:pPr>
      <w:r>
        <w:t>Investment Memo Outline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Recommendation:</w:t>
      </w:r>
      <w:r>
        <w:rPr>
          <w:b w:val="0"/>
        </w:rPr>
        <w:t xml:space="preserve"> commit or decline, the amount and the vintage it sits in.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Thesis in one paragraph:</w:t>
      </w:r>
      <w:r>
        <w:rPr>
          <w:b w:val="0"/>
        </w:rPr>
        <w:t xml:space="preserve"> why this manager, why this fund, why now.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Firm and team:</w:t>
      </w:r>
      <w:r>
        <w:rPr>
          <w:b w:val="0"/>
        </w:rPr>
        <w:t xml:space="preserve"> stability, attribution and alignment.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Strategy and market:</w:t>
      </w:r>
      <w:r>
        <w:rPr>
          <w:b w:val="0"/>
        </w:rPr>
        <w:t xml:space="preserve"> where the edge comes from and whether it still holds.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Track record:</w:t>
      </w:r>
      <w:r>
        <w:rPr>
          <w:b w:val="0"/>
        </w:rPr>
        <w:t xml:space="preserve"> gross and net performance, dispersion, losses, realized versus unrealized.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Portfolio fit:</w:t>
      </w:r>
      <w:r>
        <w:rPr>
          <w:b w:val="0"/>
        </w:rPr>
        <w:t xml:space="preserve"> strategy, geography, vintage and size, overlap with existing managers, and compliance with the pacing rule (at Larkspur, never more than 40 percent of the program in one vintage year).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Terms:</w:t>
      </w:r>
      <w:r>
        <w:rPr>
          <w:b w:val="0"/>
        </w:rPr>
        <w:t xml:space="preserve"> headline terms, side letter requests and any fee discount or co-investment right.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Operational due diligence conclusion:</w:t>
      </w:r>
      <w:r>
        <w:rPr>
          <w:b w:val="0"/>
        </w:rPr>
        <w:t xml:space="preserve"> cleared, cleared with conditions, or vetoed.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Risks and mitigants:</w:t>
      </w:r>
      <w:r>
        <w:rPr>
          <w:b w:val="0"/>
        </w:rPr>
        <w:t xml:space="preserve"> each risk named and paired with what reduces it.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References:</w:t>
      </w:r>
      <w:r>
        <w:rPr>
          <w:b w:val="0"/>
        </w:rPr>
        <w:t xml:space="preserve"> a summary of what was said, including calls not arranged by the GP.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Conditions and open items:</w:t>
      </w:r>
      <w:r>
        <w:rPr>
          <w:b w:val="0"/>
        </w:rPr>
        <w:t xml:space="preserve"> what must be settled before signing.</w:t>
      </w:r>
    </w:p>
    <w:p>
      <w:pPr>
        <w:spacing w:after="60"/>
        <w:ind w:left="240"/>
      </w:pPr>
      <w:r>
        <w:rPr>
          <w:b w:val="0"/>
        </w:rPr>
        <w:t xml:space="preserve">☐ </w:t>
      </w:r>
      <w:r>
        <w:rPr>
          <w:b/>
        </w:rPr>
        <w:t>Re-ups only:</w:t>
      </w:r>
      <w:r>
        <w:rPr>
          <w:b w:val="0"/>
        </w:rPr>
        <w:t xml:space="preserve"> what has changed since the last fund.</w:t>
      </w:r>
    </w:p>
    <w:p>
      <w:pPr>
        <w:pStyle w:val="Heading2"/>
      </w:pPr>
      <w:r>
        <w:t>Commitment Pacing Worksheet Steps</w:t>
      </w:r>
    </w:p>
    <w:p>
      <w:pPr>
        <w:spacing w:after="60"/>
        <w:ind w:left="240"/>
      </w:pPr>
      <w:r>
        <w:rPr>
          <w:b w:val="0"/>
        </w:rPr>
        <w:t>☐ Start from total commitments and the sleeve targets. Fund IV has $600 million: primaries $360 million, secondaries $150 million and co-investments $90 million.</w:t>
      </w:r>
    </w:p>
    <w:p>
      <w:pPr>
        <w:spacing w:after="60"/>
        <w:ind w:left="240"/>
      </w:pPr>
      <w:r>
        <w:rPr>
          <w:b w:val="0"/>
        </w:rPr>
        <w:t>☐ Choose the number of vintages and a cap per vintage. Fund IV spreads $200 million of exposure over each of 2024, 2025 and 2026.</w:t>
      </w:r>
    </w:p>
    <w:p>
      <w:pPr>
        <w:spacing w:after="60"/>
        <w:ind w:left="240"/>
      </w:pPr>
      <w:r>
        <w:rPr>
          <w:b w:val="0"/>
        </w:rPr>
        <w:t>☐ Set a call and distribution pattern per $100 of primary commitment. The case uses one pattern for every fund. Real models are more refined (chapter 4).</w:t>
      </w:r>
    </w:p>
    <w:p>
      <w:pPr>
        <w:spacing w:after="60"/>
        <w:ind w:left="240"/>
      </w:pPr>
      <w:r>
        <w:rPr>
          <w:b w:val="0"/>
        </w:rPr>
        <w:t>☐ For each secondary, enter the purchase price in the year of purchase and the assumed unfunded commitments over the following two years.</w:t>
      </w:r>
    </w:p>
    <w:p>
      <w:pPr>
        <w:spacing w:after="60"/>
        <w:ind w:left="240"/>
      </w:pPr>
      <w:r>
        <w:rPr>
          <w:b w:val="0"/>
        </w:rPr>
        <w:t>☐ Enter each co-investment in the year it is signed.</w:t>
      </w:r>
    </w:p>
    <w:p>
      <w:pPr>
        <w:spacing w:after="60"/>
        <w:ind w:left="240"/>
      </w:pPr>
      <w:r>
        <w:rPr>
          <w:b w:val="0"/>
        </w:rPr>
        <w:t>☐ Add the fund of funds' own management fees and expenses.</w:t>
      </w:r>
    </w:p>
    <w:p>
      <w:pPr>
        <w:spacing w:after="60"/>
        <w:ind w:left="240"/>
      </w:pPr>
      <w:r>
        <w:rPr>
          <w:b w:val="0"/>
        </w:rPr>
        <w:t>☐ Net distributions received against calls within each year, following the recycling terms.</w:t>
      </w:r>
    </w:p>
    <w:p>
      <w:pPr>
        <w:spacing w:after="60"/>
        <w:ind w:left="240"/>
      </w:pPr>
      <w:r>
        <w:rPr>
          <w:b w:val="0"/>
        </w:rPr>
        <w:t>☐ Compute cumulative net cash flow to investors, the trough, the share of commitments ever called and the year it breaks even.</w:t>
      </w:r>
    </w:p>
    <w:p>
      <w:pPr>
        <w:spacing w:after="60"/>
        <w:ind w:left="240"/>
      </w:pPr>
      <w:r>
        <w:rPr>
          <w:b w:val="0"/>
        </w:rPr>
        <w:t>☐ Run stress cases: calls come early, distributions come late, and one sleeve misses its target.</w:t>
      </w:r>
    </w:p>
    <w:p>
      <w:pPr>
        <w:spacing w:after="60"/>
        <w:ind w:left="240"/>
      </w:pPr>
      <w:r>
        <w:rPr>
          <w:b w:val="0"/>
        </w:rPr>
        <w:t>☐ Check that the peak need fits within the subscription facility and the 24-month cash forecast.</w:t>
      </w:r>
    </w:p>
    <w:p>
      <w:pPr>
        <w:spacing w:after="60"/>
        <w:ind w:left="240"/>
      </w:pPr>
      <w:r>
        <w:rPr>
          <w:b w:val="0"/>
        </w:rPr>
        <w:t>☐ Redo the worksheet every year with actual figures and record why it changed.</w:t>
      </w:r>
    </w:p>
    <w:p>
      <w:pPr>
        <w:pStyle w:val="Heading2"/>
      </w:pPr>
      <w:r>
        <w:t>Quarterly Monitoring Checklist</w:t>
      </w:r>
    </w:p>
    <w:p>
      <w:pPr>
        <w:spacing w:after="60"/>
        <w:ind w:left="240"/>
      </w:pPr>
      <w:r>
        <w:rPr>
          <w:b w:val="0"/>
        </w:rPr>
        <w:t>☐ Every underlying GP report has arrived. Log the date against the expected 45 to 60 days.</w:t>
      </w:r>
    </w:p>
    <w:p>
      <w:pPr>
        <w:spacing w:after="60"/>
        <w:ind w:left="240"/>
      </w:pPr>
      <w:r>
        <w:rPr>
          <w:b w:val="0"/>
        </w:rPr>
        <w:t>☐ Reconcile capital calls and distributions to the cash records and to the GP notices.</w:t>
      </w:r>
    </w:p>
    <w:p>
      <w:pPr>
        <w:spacing w:after="60"/>
        <w:ind w:left="240"/>
      </w:pPr>
      <w:r>
        <w:rPr>
          <w:b w:val="0"/>
        </w:rPr>
        <w:t>☐ Bridge the change in each fund's NAV: cash flows, value changes and currency.</w:t>
      </w:r>
    </w:p>
    <w:p>
      <w:pPr>
        <w:spacing w:after="60"/>
        <w:ind w:left="240"/>
      </w:pPr>
      <w:r>
        <w:rPr>
          <w:b w:val="0"/>
        </w:rPr>
        <w:t>☐ Review new deals against the strategy in the memo.</w:t>
      </w:r>
    </w:p>
    <w:p>
      <w:pPr>
        <w:spacing w:after="60"/>
        <w:ind w:left="240"/>
      </w:pPr>
      <w:r>
        <w:rPr>
          <w:b w:val="0"/>
        </w:rPr>
        <w:t>☐ Flag write-downs, covenant problems and companies on the GP's own watch list.</w:t>
      </w:r>
    </w:p>
    <w:p>
      <w:pPr>
        <w:spacing w:after="60"/>
        <w:ind w:left="240"/>
      </w:pPr>
      <w:r>
        <w:rPr>
          <w:b w:val="0"/>
        </w:rPr>
        <w:t>☐ Record team changes and check for any key person trigger.</w:t>
      </w:r>
    </w:p>
    <w:p>
      <w:pPr>
        <w:spacing w:after="60"/>
        <w:ind w:left="240"/>
      </w:pPr>
      <w:r>
        <w:rPr>
          <w:b w:val="0"/>
        </w:rPr>
        <w:t>☐ Recalculate management fees and check that fee offsets were applied.</w:t>
      </w:r>
    </w:p>
    <w:p>
      <w:pPr>
        <w:spacing w:after="60"/>
        <w:ind w:left="240"/>
      </w:pPr>
      <w:r>
        <w:rPr>
          <w:b w:val="0"/>
        </w:rPr>
        <w:t>☐ Note any use of a subscription facility by an underlying fund, with the disclosures ILPA's guidance of 11 June 2020 asks GPs to give.</w:t>
      </w:r>
    </w:p>
    <w:p>
      <w:pPr>
        <w:spacing w:after="60"/>
        <w:ind w:left="240"/>
      </w:pPr>
      <w:r>
        <w:rPr>
          <w:b w:val="0"/>
        </w:rPr>
        <w:t>☐ Review each co-investment mark against the lead GP's valuation and adjust for known events under Larkspur's policy.</w:t>
      </w:r>
    </w:p>
    <w:p>
      <w:pPr>
        <w:spacing w:after="60"/>
        <w:ind w:left="240"/>
      </w:pPr>
      <w:r>
        <w:rPr>
          <w:b w:val="0"/>
        </w:rPr>
        <w:t>☐ Update the 24-month cash forecast and the pacing model.</w:t>
      </w:r>
    </w:p>
    <w:p>
      <w:pPr>
        <w:spacing w:after="60"/>
        <w:ind w:left="240"/>
      </w:pPr>
      <w:r>
        <w:rPr>
          <w:b w:val="0"/>
        </w:rPr>
        <w:t>☐ Update the watch list and assign follow-up actions to named roles.</w:t>
      </w:r>
    </w:p>
    <w:p>
      <w:pPr>
        <w:pStyle w:val="Heading2"/>
      </w:pPr>
      <w:r>
        <w:t>Annual Meeting Questions for a GP</w:t>
      </w:r>
    </w:p>
    <w:p>
      <w:pPr>
        <w:spacing w:after="60"/>
        <w:ind w:left="240"/>
      </w:pPr>
      <w:r>
        <w:rPr>
          <w:b w:val="0"/>
        </w:rPr>
        <w:t>☐ Which companies have underperformed their plan, and what is being done about it?</w:t>
      </w:r>
    </w:p>
    <w:p>
      <w:pPr>
        <w:spacing w:after="60"/>
        <w:ind w:left="240"/>
      </w:pPr>
      <w:r>
        <w:rPr>
          <w:b w:val="0"/>
        </w:rPr>
        <w:t>☐ How did you set this year's valuations, and where do you have the least confidence?</w:t>
      </w:r>
    </w:p>
    <w:p>
      <w:pPr>
        <w:spacing w:after="60"/>
        <w:ind w:left="240"/>
      </w:pPr>
      <w:r>
        <w:rPr>
          <w:b w:val="0"/>
        </w:rPr>
        <w:t>☐ Who on the team now carries the most responsibility, and how is that reflected in the carry split?</w:t>
      </w:r>
    </w:p>
    <w:p>
      <w:pPr>
        <w:spacing w:after="60"/>
        <w:ind w:left="240"/>
      </w:pPr>
      <w:r>
        <w:rPr>
          <w:b w:val="0"/>
        </w:rPr>
        <w:t>☐ Has anyone left or been promoted? How is that changing the way decisions are made?</w:t>
      </w:r>
    </w:p>
    <w:p>
      <w:pPr>
        <w:spacing w:after="60"/>
        <w:ind w:left="240"/>
      </w:pPr>
      <w:r>
        <w:rPr>
          <w:b w:val="0"/>
        </w:rPr>
        <w:t>☐ How has the market for your deals changed, and is the edge you described still intact?</w:t>
      </w:r>
    </w:p>
    <w:p>
      <w:pPr>
        <w:spacing w:after="60"/>
        <w:ind w:left="240"/>
      </w:pPr>
      <w:r>
        <w:rPr>
          <w:b w:val="0"/>
        </w:rPr>
        <w:t>☐ What is your exit plan for the oldest companies, and what is your view of continuation vehicles?</w:t>
      </w:r>
    </w:p>
    <w:p>
      <w:pPr>
        <w:spacing w:after="60"/>
        <w:ind w:left="240"/>
      </w:pPr>
      <w:r>
        <w:rPr>
          <w:b w:val="0"/>
        </w:rPr>
        <w:t>☐ How much of the fund is committed, and what is the pace from here?</w:t>
      </w:r>
    </w:p>
    <w:p>
      <w:pPr>
        <w:spacing w:after="60"/>
        <w:ind w:left="240"/>
      </w:pPr>
      <w:r>
        <w:rPr>
          <w:b w:val="0"/>
        </w:rPr>
        <w:t>☐ How do you plan to raise the next fund, and at what size?</w:t>
      </w:r>
    </w:p>
    <w:p>
      <w:pPr>
        <w:spacing w:after="60"/>
        <w:ind w:left="240"/>
      </w:pPr>
      <w:r>
        <w:rPr>
          <w:b w:val="0"/>
        </w:rPr>
        <w:t>☐ How are co-investment opportunities allocated, and where do we stand?</w:t>
      </w:r>
    </w:p>
    <w:p>
      <w:pPr>
        <w:spacing w:after="60"/>
        <w:ind w:left="240"/>
      </w:pPr>
      <w:r>
        <w:rPr>
          <w:b w:val="0"/>
        </w:rPr>
        <w:t>☐ What would you do differently with this fund if you started again?</w:t>
      </w:r>
    </w:p>
    <w:p>
      <w:pPr>
        <w:pStyle w:val="Heading2"/>
      </w:pPr>
      <w:r>
        <w:t>Investor Reporting Checklist for a Fund of Funds</w:t>
      </w:r>
    </w:p>
    <w:p>
      <w:pPr>
        <w:spacing w:after="60"/>
        <w:ind w:left="240"/>
      </w:pPr>
      <w:r>
        <w:rPr>
          <w:b w:val="0"/>
        </w:rPr>
        <w:t>☐ Deliver the quarterly report within the agreed deadline (90 days after quarter end in the case). State which underlying values are lagged one quarter and rolled forward for cash flows.</w:t>
      </w:r>
    </w:p>
    <w:p>
      <w:pPr>
        <w:spacing w:after="60"/>
        <w:ind w:left="240"/>
      </w:pPr>
      <w:r>
        <w:rPr>
          <w:b w:val="0"/>
        </w:rPr>
        <w:t>☐ Issue a capital account statement for each investor every quarter.</w:t>
      </w:r>
    </w:p>
    <w:p>
      <w:pPr>
        <w:spacing w:after="60"/>
        <w:ind w:left="240"/>
      </w:pPr>
      <w:r>
        <w:rPr>
          <w:b w:val="0"/>
        </w:rPr>
        <w:t>☐ Report net DPI, TVPI and IRR, and show the fund of funds' gross figures next to them, stating the basis of any gross multiple (investor basis or portfolio level).</w:t>
      </w:r>
    </w:p>
    <w:p>
      <w:pPr>
        <w:spacing w:after="60"/>
        <w:ind w:left="240"/>
      </w:pPr>
      <w:r>
        <w:rPr>
          <w:b w:val="0"/>
        </w:rPr>
        <w:t>☐ Report performance with and without the subscription facility, following ILPA's guidance of 11 June 2020.</w:t>
      </w:r>
    </w:p>
    <w:p>
      <w:pPr>
        <w:spacing w:after="60"/>
        <w:ind w:left="240"/>
      </w:pPr>
      <w:r>
        <w:rPr>
          <w:b w:val="0"/>
        </w:rPr>
        <w:t>☐ Disclose fees, expenses and carry for both layers, the underlying funds and the fund of funds.</w:t>
      </w:r>
    </w:p>
    <w:p>
      <w:pPr>
        <w:spacing w:after="60"/>
        <w:ind w:left="240"/>
      </w:pPr>
      <w:r>
        <w:rPr>
          <w:b w:val="0"/>
        </w:rPr>
        <w:t>☐ Provide look-through holdings and exposure by sector, geography, vintage and sleeve.</w:t>
      </w:r>
    </w:p>
    <w:p>
      <w:pPr>
        <w:spacing w:after="60"/>
        <w:ind w:left="240"/>
      </w:pPr>
      <w:r>
        <w:rPr>
          <w:b w:val="0"/>
        </w:rPr>
        <w:t>☐ Map the report to ILPA's updated Reporting Template (version 2.0, applicable from Q1 2026 reporting for funds in scope).</w:t>
      </w:r>
    </w:p>
    <w:p>
      <w:pPr>
        <w:spacing w:after="60"/>
        <w:ind w:left="240"/>
      </w:pPr>
      <w:r>
        <w:rPr>
          <w:b w:val="0"/>
        </w:rPr>
        <w:t>☐ Report bad news early and in plain words: write-downs, manager departures, key person events.</w:t>
      </w:r>
    </w:p>
    <w:p>
      <w:pPr>
        <w:spacing w:after="60"/>
        <w:ind w:left="240"/>
      </w:pPr>
      <w:r>
        <w:rPr>
          <w:b w:val="0"/>
        </w:rPr>
        <w:t>☐ Give investors a forecast of their calls and distributions.</w:t>
      </w:r>
    </w:p>
    <w:p>
      <w:pPr>
        <w:spacing w:after="60"/>
        <w:ind w:left="240"/>
      </w:pPr>
      <w:r>
        <w:rPr>
          <w:b w:val="0"/>
        </w:rPr>
        <w:t>☐ Deliver audited annual financial statements within the agreed deadline (120 days in the case).</w:t>
      </w:r>
    </w:p>
    <w:p>
      <w:pPr>
        <w:spacing w:after="60"/>
        <w:ind w:left="240"/>
      </w:pPr>
      <w:r>
        <w:rPr>
          <w:b w:val="0"/>
        </w:rPr>
        <w:t>☐ Restate the valuation policy and point out any change from the previous period.</w:t>
      </w:r>
    </w:p>
    <w:p>
      <w:r>
        <w:t>Julian R. Sterling, The Fund of Funds Investor. A working aid, not legal, tax, accounting or investment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Fund of Funds Investor: The Fund of Funds Toolkit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